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375" w:rsidRPr="00CD7E89" w:rsidRDefault="009E6079" w:rsidP="00671375">
      <w:pPr>
        <w:rPr>
          <w:b/>
          <w:sz w:val="24"/>
        </w:rPr>
      </w:pPr>
      <w:r w:rsidRPr="00CD7E89">
        <w:rPr>
          <w:b/>
          <w:sz w:val="24"/>
        </w:rPr>
        <w:t>ACUERDO QUE EMITE EL CONSEJO ESTATAL DEL INSTITUTO ELECTORAL Y DE PARTICIPACIÓN CIUDADANA DE TABASCO, MEDIANTE EL CUAL APRUEBA EL PROGRAMA ANUAL DE TRABAJO DE LA COMISIÓN PERMANENTE DE ORGANIZACIÓN ELECTORAL Y EDUCACIÓN CÍVICA PARA EL EJERCICIO 2024 PROPUESTO POR LA PROPIA COMISIÓN</w:t>
      </w:r>
    </w:p>
    <w:p w:rsidR="00457A11" w:rsidRPr="008C1524" w:rsidRDefault="00457A11" w:rsidP="00457A11">
      <w:r w:rsidRPr="008C1524">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Comisión:</w:t>
            </w:r>
          </w:p>
        </w:tc>
        <w:tc>
          <w:tcPr>
            <w:tcW w:w="2958" w:type="pct"/>
            <w:shd w:val="clear" w:color="auto" w:fill="auto"/>
            <w:vAlign w:val="center"/>
          </w:tcPr>
          <w:p w:rsidR="00457A11" w:rsidRPr="009E6079" w:rsidRDefault="00FD01AA" w:rsidP="00122F06">
            <w:pPr>
              <w:spacing w:before="60" w:after="60" w:line="276" w:lineRule="auto"/>
              <w:ind w:left="57"/>
              <w:rPr>
                <w:sz w:val="20"/>
                <w:szCs w:val="20"/>
              </w:rPr>
            </w:pPr>
            <w:r w:rsidRPr="009E6079">
              <w:rPr>
                <w:sz w:val="20"/>
                <w:szCs w:val="20"/>
              </w:rPr>
              <w:t>Comisión Permanente de Organización Electoral y Educación Cívica de</w:t>
            </w:r>
            <w:r w:rsidR="00457A11" w:rsidRPr="009E6079">
              <w:rPr>
                <w:sz w:val="20"/>
                <w:szCs w:val="20"/>
              </w:rPr>
              <w:t>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Consejo Estatal:</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Consejo Estatal 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Constitución Federal:</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Constitución Política de los Estados Unidos Mexicanos.</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Constitución Local:</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Constitución Política del Estado Libre y Soberano de Tabasco.</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INE:</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Instituto Nacional Electoral.</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Instituto:</w:t>
            </w:r>
          </w:p>
        </w:tc>
        <w:tc>
          <w:tcPr>
            <w:tcW w:w="2958" w:type="pct"/>
            <w:shd w:val="clear" w:color="auto" w:fill="auto"/>
          </w:tcPr>
          <w:p w:rsidR="00457A11" w:rsidRPr="009E6079" w:rsidRDefault="00457A11" w:rsidP="00122F06">
            <w:pPr>
              <w:spacing w:before="60" w:after="60" w:line="276" w:lineRule="auto"/>
              <w:ind w:left="57"/>
              <w:rPr>
                <w:sz w:val="20"/>
                <w:szCs w:val="20"/>
              </w:rPr>
            </w:pPr>
            <w:r w:rsidRPr="009E6079">
              <w:rPr>
                <w:sz w:val="20"/>
                <w:szCs w:val="20"/>
              </w:rPr>
              <w:t>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Ley Electoral:</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Ley Electoral y de Partidos Políticos del Estado de Tabasco.</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Ley General:</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Ley General de Instituciones y Procedimientos Electorales.</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t>Organismo electoral:</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 xml:space="preserve">Organismo(s) público(s) local(es) electoral(es). </w:t>
            </w:r>
          </w:p>
        </w:tc>
      </w:tr>
      <w:tr w:rsidR="00676819" w:rsidRPr="008C1524" w:rsidTr="00923ABC">
        <w:trPr>
          <w:trHeight w:val="624"/>
          <w:jc w:val="center"/>
        </w:trPr>
        <w:tc>
          <w:tcPr>
            <w:tcW w:w="2042" w:type="pct"/>
            <w:shd w:val="clear" w:color="auto" w:fill="auto"/>
            <w:vAlign w:val="center"/>
          </w:tcPr>
          <w:p w:rsidR="00676819" w:rsidRPr="009E6079" w:rsidRDefault="00676819" w:rsidP="00923ABC">
            <w:pPr>
              <w:spacing w:before="60" w:after="60" w:line="276" w:lineRule="auto"/>
              <w:ind w:left="57"/>
              <w:jc w:val="right"/>
              <w:rPr>
                <w:b/>
                <w:sz w:val="20"/>
                <w:szCs w:val="20"/>
              </w:rPr>
            </w:pPr>
            <w:r w:rsidRPr="009E6079">
              <w:rPr>
                <w:b/>
                <w:sz w:val="20"/>
                <w:szCs w:val="20"/>
              </w:rPr>
              <w:t>Proceso Electoral:</w:t>
            </w:r>
          </w:p>
        </w:tc>
        <w:tc>
          <w:tcPr>
            <w:tcW w:w="2958" w:type="pct"/>
            <w:shd w:val="clear" w:color="auto" w:fill="auto"/>
            <w:vAlign w:val="center"/>
          </w:tcPr>
          <w:p w:rsidR="00676819" w:rsidRPr="009E6079" w:rsidRDefault="00676819" w:rsidP="00923ABC">
            <w:pPr>
              <w:spacing w:before="60" w:after="60" w:line="276" w:lineRule="auto"/>
              <w:ind w:left="57"/>
              <w:rPr>
                <w:sz w:val="20"/>
                <w:szCs w:val="20"/>
              </w:rPr>
            </w:pPr>
            <w:r w:rsidRPr="009E6079">
              <w:rPr>
                <w:sz w:val="20"/>
                <w:szCs w:val="20"/>
              </w:rPr>
              <w:t>Proceso Electoral Local Ordinario 2023 – 2024.</w:t>
            </w:r>
          </w:p>
        </w:tc>
      </w:tr>
      <w:tr w:rsidR="00321BF0" w:rsidRPr="008C1524" w:rsidTr="00923ABC">
        <w:trPr>
          <w:trHeight w:val="624"/>
          <w:jc w:val="center"/>
        </w:trPr>
        <w:tc>
          <w:tcPr>
            <w:tcW w:w="2042" w:type="pct"/>
            <w:shd w:val="clear" w:color="auto" w:fill="auto"/>
            <w:vAlign w:val="center"/>
          </w:tcPr>
          <w:p w:rsidR="00321BF0" w:rsidRPr="009E6079" w:rsidRDefault="00321BF0" w:rsidP="00923ABC">
            <w:pPr>
              <w:spacing w:before="60" w:after="60" w:line="276" w:lineRule="auto"/>
              <w:ind w:left="57"/>
              <w:jc w:val="right"/>
              <w:rPr>
                <w:b/>
                <w:sz w:val="20"/>
                <w:szCs w:val="20"/>
              </w:rPr>
            </w:pPr>
            <w:r w:rsidRPr="009E6079">
              <w:rPr>
                <w:b/>
                <w:sz w:val="20"/>
                <w:szCs w:val="20"/>
              </w:rPr>
              <w:t>Reglamento de Comisiones:</w:t>
            </w:r>
          </w:p>
        </w:tc>
        <w:tc>
          <w:tcPr>
            <w:tcW w:w="2958" w:type="pct"/>
            <w:shd w:val="clear" w:color="auto" w:fill="auto"/>
            <w:vAlign w:val="center"/>
          </w:tcPr>
          <w:p w:rsidR="00321BF0" w:rsidRPr="009E6079" w:rsidRDefault="00321BF0" w:rsidP="00923ABC">
            <w:pPr>
              <w:spacing w:before="60" w:after="60" w:line="276" w:lineRule="auto"/>
              <w:ind w:left="57"/>
              <w:rPr>
                <w:sz w:val="20"/>
                <w:szCs w:val="20"/>
              </w:rPr>
            </w:pPr>
            <w:r w:rsidRPr="009E6079">
              <w:rPr>
                <w:sz w:val="20"/>
                <w:szCs w:val="20"/>
              </w:rPr>
              <w:t>Reglamento de Comisiones del Consejo Estatal del Instituto Electoral y de Participación Ciudadana de Tabasco.</w:t>
            </w:r>
          </w:p>
        </w:tc>
      </w:tr>
      <w:tr w:rsidR="00457A11" w:rsidRPr="008C1524" w:rsidTr="00122F06">
        <w:trPr>
          <w:trHeight w:val="624"/>
          <w:jc w:val="center"/>
        </w:trPr>
        <w:tc>
          <w:tcPr>
            <w:tcW w:w="2042" w:type="pct"/>
            <w:shd w:val="clear" w:color="auto" w:fill="auto"/>
            <w:vAlign w:val="center"/>
          </w:tcPr>
          <w:p w:rsidR="00457A11" w:rsidRPr="009E6079" w:rsidRDefault="00457A11" w:rsidP="00122F06">
            <w:pPr>
              <w:spacing w:before="60" w:after="60" w:line="276" w:lineRule="auto"/>
              <w:ind w:left="57"/>
              <w:jc w:val="right"/>
              <w:rPr>
                <w:b/>
                <w:sz w:val="20"/>
                <w:szCs w:val="20"/>
              </w:rPr>
            </w:pPr>
            <w:r w:rsidRPr="009E6079">
              <w:rPr>
                <w:b/>
                <w:sz w:val="20"/>
                <w:szCs w:val="20"/>
              </w:rPr>
              <w:lastRenderedPageBreak/>
              <w:t>Secretaría Ejecutiva:</w:t>
            </w:r>
          </w:p>
        </w:tc>
        <w:tc>
          <w:tcPr>
            <w:tcW w:w="2958" w:type="pct"/>
            <w:shd w:val="clear" w:color="auto" w:fill="auto"/>
            <w:vAlign w:val="center"/>
          </w:tcPr>
          <w:p w:rsidR="00457A11" w:rsidRPr="009E6079" w:rsidRDefault="00457A11" w:rsidP="00122F06">
            <w:pPr>
              <w:spacing w:before="60" w:after="60" w:line="276" w:lineRule="auto"/>
              <w:ind w:left="57"/>
              <w:rPr>
                <w:sz w:val="20"/>
                <w:szCs w:val="20"/>
              </w:rPr>
            </w:pPr>
            <w:r w:rsidRPr="009E6079">
              <w:rPr>
                <w:sz w:val="20"/>
                <w:szCs w:val="20"/>
              </w:rPr>
              <w:t>Secretaría Ejecutiva del Instituto Electoral y de Participación Ciudadana de Tabasco.</w:t>
            </w:r>
          </w:p>
        </w:tc>
      </w:tr>
    </w:tbl>
    <w:p w:rsidR="00671375" w:rsidRPr="009E6079" w:rsidRDefault="00671375" w:rsidP="002C54A0">
      <w:pPr>
        <w:pStyle w:val="Ttulo1"/>
        <w:rPr>
          <w:sz w:val="24"/>
          <w:szCs w:val="24"/>
        </w:rPr>
      </w:pPr>
      <w:r w:rsidRPr="009E6079">
        <w:rPr>
          <w:sz w:val="24"/>
          <w:szCs w:val="24"/>
        </w:rPr>
        <w:t>Antecedentes</w:t>
      </w:r>
    </w:p>
    <w:p w:rsidR="00671375" w:rsidRPr="009E6079" w:rsidRDefault="00671375" w:rsidP="00671375">
      <w:pPr>
        <w:pStyle w:val="Ttulo2"/>
        <w:rPr>
          <w:sz w:val="23"/>
        </w:rPr>
      </w:pPr>
      <w:r w:rsidRPr="009E6079">
        <w:rPr>
          <w:sz w:val="23"/>
        </w:rPr>
        <w:t>Homologación de plazos y fechas en los Procesos Electorales Locales Concurrentes</w:t>
      </w:r>
    </w:p>
    <w:p w:rsidR="00671375" w:rsidRPr="009E6079" w:rsidRDefault="00671375" w:rsidP="00671375">
      <w:r w:rsidRPr="009E6079">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671375" w:rsidRPr="009E6079" w:rsidRDefault="00671375" w:rsidP="00671375">
      <w:pPr>
        <w:pStyle w:val="Ttulo2"/>
        <w:rPr>
          <w:sz w:val="23"/>
        </w:rPr>
      </w:pPr>
      <w:r w:rsidRPr="009E6079">
        <w:rPr>
          <w:sz w:val="23"/>
        </w:rPr>
        <w:t xml:space="preserve">Plan Integral y Calendario de Coordinación </w:t>
      </w:r>
    </w:p>
    <w:p w:rsidR="00671375" w:rsidRPr="009E6079" w:rsidRDefault="00671375" w:rsidP="00671375">
      <w:r w:rsidRPr="009E6079">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671375" w:rsidRPr="009E6079" w:rsidRDefault="00671375" w:rsidP="00671375">
      <w:pPr>
        <w:pStyle w:val="Ttulo2"/>
        <w:rPr>
          <w:sz w:val="23"/>
        </w:rPr>
      </w:pPr>
      <w:r w:rsidRPr="009E6079">
        <w:rPr>
          <w:sz w:val="23"/>
        </w:rPr>
        <w:t xml:space="preserve">Integración de la Comisión </w:t>
      </w:r>
    </w:p>
    <w:p w:rsidR="00671375" w:rsidRPr="009E6079" w:rsidRDefault="00671375" w:rsidP="00671375">
      <w:r w:rsidRPr="009E6079">
        <w:t>El 5 de octubre de 2023, mediante acuerdo CE/2023/031, el Consejo Estatal determinó la nueva integración de la Comisión, quedand</w:t>
      </w:r>
      <w:r w:rsidR="002C54A0" w:rsidRPr="009E6079">
        <w:t>o conformada por la</w:t>
      </w:r>
      <w:r w:rsidR="00FE00B0" w:rsidRPr="009E6079">
        <w:t>s</w:t>
      </w:r>
      <w:r w:rsidR="002C54A0" w:rsidRPr="009E6079">
        <w:t xml:space="preserve"> Consejera</w:t>
      </w:r>
      <w:r w:rsidR="00FE00B0" w:rsidRPr="009E6079">
        <w:t>s</w:t>
      </w:r>
      <w:r w:rsidRPr="009E6079">
        <w:t xml:space="preserve"> y </w:t>
      </w:r>
      <w:r w:rsidR="00FE00B0" w:rsidRPr="009E6079">
        <w:t xml:space="preserve">el </w:t>
      </w:r>
      <w:r w:rsidRPr="009E6079">
        <w:t>Consejero Elector</w:t>
      </w:r>
      <w:r w:rsidR="00FE00B0" w:rsidRPr="009E6079">
        <w:t>al</w:t>
      </w:r>
      <w:r w:rsidRPr="009E6079">
        <w:t xml:space="preserve">: Dra. Rosselvy del Carmen Domínguez Arévalo, </w:t>
      </w:r>
      <w:r w:rsidR="00FE00B0" w:rsidRPr="009E6079">
        <w:t xml:space="preserve">Licda. María Elvia Magaña Sandoval y </w:t>
      </w:r>
      <w:r w:rsidRPr="009E6079">
        <w:t xml:space="preserve">Lic. </w:t>
      </w:r>
      <w:r w:rsidR="00FE00B0" w:rsidRPr="009E6079">
        <w:t>Hernán González Sala</w:t>
      </w:r>
      <w:r w:rsidRPr="009E6079">
        <w:t>, Presidente de esta.</w:t>
      </w:r>
    </w:p>
    <w:p w:rsidR="00DE30EB" w:rsidRPr="009E6079" w:rsidRDefault="00DE30EB" w:rsidP="00DE30EB">
      <w:pPr>
        <w:pStyle w:val="Ttulo2"/>
        <w:numPr>
          <w:ilvl w:val="1"/>
          <w:numId w:val="2"/>
        </w:numPr>
        <w:rPr>
          <w:sz w:val="23"/>
        </w:rPr>
      </w:pPr>
      <w:r w:rsidRPr="009E6079">
        <w:rPr>
          <w:sz w:val="23"/>
        </w:rPr>
        <w:t>Inicio del Proceso Electoral</w:t>
      </w:r>
    </w:p>
    <w:p w:rsidR="00DE30EB" w:rsidRDefault="00DE30EB" w:rsidP="00DE30EB">
      <w:r w:rsidRPr="009E6079">
        <w:t xml:space="preserve">El 6 de octubre de 2023, el Consejo Estatal de conformidad con el artículo 111 de la Ley Electoral declaró el inicio del Proceso Electoral por el que se renovarán los cargos </w:t>
      </w:r>
      <w:r w:rsidRPr="009E6079">
        <w:lastRenderedPageBreak/>
        <w:t>relativos a la Gubernatura del Estado, diputaciones locales y presidencias municipales y regidurías.</w:t>
      </w:r>
    </w:p>
    <w:p w:rsidR="009E6079" w:rsidRPr="009E6079" w:rsidRDefault="009E6079" w:rsidP="00DE30EB"/>
    <w:p w:rsidR="00DE30EB" w:rsidRPr="009E6079" w:rsidRDefault="00DE30EB" w:rsidP="00DE30EB">
      <w:pPr>
        <w:pStyle w:val="Ttulo2"/>
        <w:rPr>
          <w:sz w:val="23"/>
        </w:rPr>
      </w:pPr>
      <w:r w:rsidRPr="009E6079">
        <w:rPr>
          <w:sz w:val="23"/>
        </w:rPr>
        <w:t>Sesión de instalación de la Comisión</w:t>
      </w:r>
    </w:p>
    <w:p w:rsidR="00DE30EB" w:rsidRPr="009E6079" w:rsidRDefault="00DE30EB" w:rsidP="00DE30EB">
      <w:r w:rsidRPr="009E6079">
        <w:t>El 9 de octubre de 2023, en cumplimiento al acuerdo CE/2023/031, en sesión extraordinaria urgente, se llevó a cabo la toma de protesta de ley, por parte de la Presidencia, Consejerías Electorales y la Secretaría Técnica integrantes de la Comisión, quedando formal y legalmente instalada.</w:t>
      </w:r>
    </w:p>
    <w:p w:rsidR="00DE30EB" w:rsidRPr="009E6079" w:rsidRDefault="00DE30EB" w:rsidP="00DE30EB">
      <w:pPr>
        <w:pStyle w:val="Ttulo2"/>
        <w:rPr>
          <w:sz w:val="23"/>
        </w:rPr>
      </w:pPr>
      <w:r w:rsidRPr="009E6079">
        <w:rPr>
          <w:sz w:val="23"/>
        </w:rPr>
        <w:t>Convocatoria para la renovación del Poder Ejecutivo, Legislativo y los Ayuntamientos</w:t>
      </w:r>
    </w:p>
    <w:p w:rsidR="00DE30EB" w:rsidRPr="009E6079" w:rsidRDefault="00DE30EB" w:rsidP="00DE30EB">
      <w:r w:rsidRPr="009E6079">
        <w:t>El 20 de octubre de 2023, mediante acuerdo CE/2023/035, el Consejo Estatal expidió la convocatoria para renovar a las y los integrantes de los Poderes Ejecutivo, Legislativo y los Ayuntamientos del Estado, con motivo del Proceso Electoral.</w:t>
      </w:r>
    </w:p>
    <w:p w:rsidR="00DE30EB" w:rsidRPr="009E6079" w:rsidRDefault="00DE30EB" w:rsidP="00DE30EB">
      <w:pPr>
        <w:pStyle w:val="Ttulo2"/>
        <w:rPr>
          <w:sz w:val="23"/>
        </w:rPr>
      </w:pPr>
      <w:r w:rsidRPr="009E6079">
        <w:rPr>
          <w:sz w:val="23"/>
        </w:rPr>
        <w:t>Jornada electoral</w:t>
      </w:r>
    </w:p>
    <w:p w:rsidR="00DE30EB" w:rsidRPr="009E6079" w:rsidRDefault="00DE30EB" w:rsidP="00DE30EB">
      <w:r w:rsidRPr="009E6079">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0C54D4" w:rsidRPr="009E6079" w:rsidRDefault="000C54D4" w:rsidP="000C54D4">
      <w:pPr>
        <w:pStyle w:val="Ttulo2"/>
        <w:rPr>
          <w:sz w:val="23"/>
        </w:rPr>
      </w:pPr>
      <w:r w:rsidRPr="009E6079">
        <w:rPr>
          <w:sz w:val="23"/>
        </w:rPr>
        <w:t>Presentación de la Propuesta de Programa Anual de Trabajo</w:t>
      </w:r>
    </w:p>
    <w:p w:rsidR="000C54D4" w:rsidRPr="009E6079" w:rsidRDefault="000C54D4" w:rsidP="000C54D4">
      <w:pPr>
        <w:spacing w:line="295" w:lineRule="auto"/>
      </w:pPr>
      <w:r w:rsidRPr="009E6079">
        <w:t xml:space="preserve">El 23 de enero de 2024, la Secretaria Técnica de la Comisión, mediante oficio </w:t>
      </w:r>
      <w:r w:rsidR="00F55552" w:rsidRPr="009E6079">
        <w:t>COEYEC</w:t>
      </w:r>
      <w:r w:rsidRPr="009E6079">
        <w:t>/</w:t>
      </w:r>
      <w:r w:rsidR="00F55552" w:rsidRPr="009E6079">
        <w:t>ST</w:t>
      </w:r>
      <w:r w:rsidRPr="009E6079">
        <w:t>/</w:t>
      </w:r>
      <w:r w:rsidR="00F55552" w:rsidRPr="009E6079">
        <w:t>0</w:t>
      </w:r>
      <w:r w:rsidRPr="009E6079">
        <w:t>3/2024, remitió a la Presidencia del Consejo, el Programa Anual de Trabajo propuesto por dicha Comisión, para la deliberación por parte de este Consejo Estatal.</w:t>
      </w:r>
    </w:p>
    <w:p w:rsidR="00671375" w:rsidRPr="009E6079" w:rsidRDefault="00671375" w:rsidP="00671375">
      <w:pPr>
        <w:pStyle w:val="Ttulo1"/>
        <w:rPr>
          <w:sz w:val="23"/>
          <w:szCs w:val="23"/>
        </w:rPr>
      </w:pPr>
      <w:r w:rsidRPr="009E6079">
        <w:rPr>
          <w:sz w:val="23"/>
          <w:szCs w:val="23"/>
        </w:rPr>
        <w:t>Considerando</w:t>
      </w:r>
    </w:p>
    <w:p w:rsidR="00671375" w:rsidRPr="009E6079" w:rsidRDefault="00671375" w:rsidP="00671375">
      <w:pPr>
        <w:pStyle w:val="Ttulo2"/>
        <w:rPr>
          <w:sz w:val="23"/>
        </w:rPr>
      </w:pPr>
      <w:r w:rsidRPr="009E6079">
        <w:rPr>
          <w:sz w:val="23"/>
        </w:rPr>
        <w:t xml:space="preserve">Fines del Instituto </w:t>
      </w:r>
    </w:p>
    <w:p w:rsidR="00671375" w:rsidRPr="009E6079" w:rsidRDefault="00671375" w:rsidP="00671375">
      <w:r w:rsidRPr="009E6079">
        <w:lastRenderedPageBreak/>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671375" w:rsidRPr="009E6079" w:rsidRDefault="00671375" w:rsidP="00671375">
      <w:r w:rsidRPr="009E6079">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rsidR="00671375" w:rsidRPr="009E6079" w:rsidRDefault="00671375" w:rsidP="00671375">
      <w:pPr>
        <w:pStyle w:val="Ttulo2"/>
        <w:rPr>
          <w:sz w:val="23"/>
        </w:rPr>
      </w:pPr>
      <w:r w:rsidRPr="009E6079">
        <w:rPr>
          <w:sz w:val="23"/>
        </w:rPr>
        <w:t xml:space="preserve">Órgano Superior de Dirección del Instituto </w:t>
      </w:r>
    </w:p>
    <w:p w:rsidR="00671375" w:rsidRPr="009E6079" w:rsidRDefault="00671375" w:rsidP="00671375">
      <w:r w:rsidRPr="009E6079">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rsidR="00671375" w:rsidRPr="009E6079" w:rsidRDefault="00671375" w:rsidP="00671375">
      <w:pPr>
        <w:pStyle w:val="Ttulo2"/>
        <w:rPr>
          <w:sz w:val="23"/>
        </w:rPr>
      </w:pPr>
      <w:r w:rsidRPr="009E6079">
        <w:rPr>
          <w:sz w:val="23"/>
        </w:rPr>
        <w:t>Integración del Órgano de Dirección Superior</w:t>
      </w:r>
    </w:p>
    <w:p w:rsidR="00671375" w:rsidRDefault="00671375" w:rsidP="00671375">
      <w:r w:rsidRPr="009E6079">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9E6079" w:rsidRPr="009E6079" w:rsidRDefault="009E6079" w:rsidP="00671375">
      <w:bookmarkStart w:id="0" w:name="_GoBack"/>
      <w:bookmarkEnd w:id="0"/>
    </w:p>
    <w:p w:rsidR="00671375" w:rsidRPr="009E6079" w:rsidRDefault="00671375" w:rsidP="00671375">
      <w:pPr>
        <w:pStyle w:val="Ttulo2"/>
        <w:rPr>
          <w:sz w:val="23"/>
        </w:rPr>
      </w:pPr>
      <w:r w:rsidRPr="009E6079">
        <w:rPr>
          <w:sz w:val="23"/>
        </w:rPr>
        <w:lastRenderedPageBreak/>
        <w:t xml:space="preserve">Competencia del Consejo Estatal </w:t>
      </w:r>
    </w:p>
    <w:p w:rsidR="00971BED" w:rsidRPr="009E6079" w:rsidRDefault="00671375" w:rsidP="00671375">
      <w:r w:rsidRPr="009E6079">
        <w:t xml:space="preserve">Que, de conformidad con el artículo 115 numeral 1 </w:t>
      </w:r>
      <w:r w:rsidR="00971BED" w:rsidRPr="009E6079">
        <w:t>fracciones</w:t>
      </w:r>
      <w:r w:rsidRPr="009E6079">
        <w:t xml:space="preserve"> </w:t>
      </w:r>
      <w:r w:rsidR="00971BED" w:rsidRPr="009E6079">
        <w:t xml:space="preserve">XI y XII </w:t>
      </w:r>
      <w:r w:rsidRPr="009E6079">
        <w:t xml:space="preserve">de la Ley Electoral, el Consejo Estatal es competente para </w:t>
      </w:r>
      <w:r w:rsidR="00971BED" w:rsidRPr="009E6079">
        <w:t>desarrollar y ejecutar los programas en la entidad, de educación cívica, paridad de género y respeto de los derechos humanos de las mujeres en el ámbito político electoral; y, orientar a las ciudadanas y ciudadanos para el ejercicio de sus derechos y cumplimiento de sus obligaciones político-electorales.</w:t>
      </w:r>
    </w:p>
    <w:p w:rsidR="00671375" w:rsidRPr="009E6079" w:rsidRDefault="00671375" w:rsidP="00671375">
      <w:r w:rsidRPr="009E6079">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671375" w:rsidRPr="009E6079" w:rsidRDefault="00671375" w:rsidP="00671375">
      <w:pPr>
        <w:pStyle w:val="Ttulo2"/>
        <w:rPr>
          <w:sz w:val="23"/>
        </w:rPr>
      </w:pPr>
      <w:r w:rsidRPr="009E6079">
        <w:rPr>
          <w:sz w:val="23"/>
        </w:rPr>
        <w:t>Órganos auxiliares del Consejo Estatal</w:t>
      </w:r>
    </w:p>
    <w:p w:rsidR="00671375" w:rsidRPr="009E6079" w:rsidRDefault="00671375" w:rsidP="00671375">
      <w:r w:rsidRPr="009E6079">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rsidR="00671375" w:rsidRPr="009E6079" w:rsidRDefault="00671375" w:rsidP="00671375">
      <w:r w:rsidRPr="009E6079">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rsidR="00332E9D" w:rsidRPr="009E6079" w:rsidRDefault="00332E9D" w:rsidP="00332E9D">
      <w:pPr>
        <w:pStyle w:val="Ttulo2"/>
        <w:rPr>
          <w:sz w:val="23"/>
        </w:rPr>
      </w:pPr>
      <w:r w:rsidRPr="009E6079">
        <w:rPr>
          <w:sz w:val="23"/>
        </w:rPr>
        <w:t>Obligación de presentar el Plan Anual de Trabajo</w:t>
      </w:r>
    </w:p>
    <w:p w:rsidR="00332E9D" w:rsidRPr="009E6079" w:rsidRDefault="00332E9D" w:rsidP="00332E9D">
      <w:r w:rsidRPr="009E6079">
        <w:t xml:space="preserve">Que, el artículo 12 numeral 1, fracción I del Reglamento de Comisiones establece que, durante el mes de enero del año correspondiente, las Comisiones Permanentes </w:t>
      </w:r>
      <w:r w:rsidRPr="009E6079">
        <w:lastRenderedPageBreak/>
        <w:t>deberán presentar al Consejo Estatal para su aprobación, un Programa Anual de Trabajo acorde a los programas y políticas previamente establecidos.</w:t>
      </w:r>
    </w:p>
    <w:p w:rsidR="00671375" w:rsidRPr="009E6079" w:rsidRDefault="00671375" w:rsidP="00671375">
      <w:pPr>
        <w:pStyle w:val="Ttulo2"/>
        <w:rPr>
          <w:sz w:val="23"/>
        </w:rPr>
      </w:pPr>
      <w:r w:rsidRPr="009E6079">
        <w:rPr>
          <w:sz w:val="23"/>
        </w:rPr>
        <w:t xml:space="preserve">Atribuciones de la Comisión </w:t>
      </w:r>
    </w:p>
    <w:p w:rsidR="00671375" w:rsidRPr="009E6079" w:rsidRDefault="00E86906" w:rsidP="00671375">
      <w:r w:rsidRPr="009E6079">
        <w:t>Que, de la interpretación sistemática y funcional de los artículos 38 y 113, numerales 1 y 3 de la Ley Electoral; y 14, numeral 1 del Reglamento de Comisiones, la Comisión es el órgano auxiliar del Consejo Estatal, que tiene entre otras funciones, la de proponer al Consejo, políticas y programas generales en materia de organización electoral, educación cívica o participación ciudadana.</w:t>
      </w:r>
    </w:p>
    <w:p w:rsidR="00671375" w:rsidRPr="009E6079" w:rsidRDefault="00F23353" w:rsidP="00332E9D">
      <w:pPr>
        <w:pStyle w:val="Ttulo2"/>
        <w:rPr>
          <w:sz w:val="23"/>
        </w:rPr>
      </w:pPr>
      <w:r w:rsidRPr="009E6079">
        <w:rPr>
          <w:sz w:val="23"/>
        </w:rPr>
        <w:t>Programa</w:t>
      </w:r>
      <w:r w:rsidR="00671375" w:rsidRPr="009E6079">
        <w:rPr>
          <w:sz w:val="23"/>
        </w:rPr>
        <w:t xml:space="preserve"> Anual de Trabajo</w:t>
      </w:r>
    </w:p>
    <w:p w:rsidR="005A09F2" w:rsidRPr="009E6079" w:rsidRDefault="00671375" w:rsidP="00671375">
      <w:r w:rsidRPr="009E6079">
        <w:t>Que</w:t>
      </w:r>
      <w:r w:rsidR="00332E9D" w:rsidRPr="009E6079">
        <w:t xml:space="preserve">, conforme a las consideraciones mencionadas y en cumplimiento a lo anterior, la Comisión presentó </w:t>
      </w:r>
      <w:r w:rsidR="005A09F2" w:rsidRPr="009E6079">
        <w:t xml:space="preserve">su Programa Anual de Trabajo </w:t>
      </w:r>
      <w:r w:rsidR="005D7F44" w:rsidRPr="009E6079">
        <w:t>para el perí</w:t>
      </w:r>
      <w:r w:rsidR="005A09F2" w:rsidRPr="009E6079">
        <w:t>odo 2024, el cual tiene como fin</w:t>
      </w:r>
      <w:r w:rsidR="008D63B6" w:rsidRPr="009E6079">
        <w:t>es</w:t>
      </w:r>
      <w:r w:rsidR="005A09F2" w:rsidRPr="009E6079">
        <w:t>, dar cumplimiento, seguimiento y aplicación de actividades a implementar bajo líneas de acciones, directrices y objetivos estratégicos institucionales descritos de manera enunciativa más no limitativa, relativos a, la preparación, organización y desarrollo de la jornada electoral, la construcción, consolidación y difusión de la cultura cívica, la promoción de la participación de la ciudadanía, la observación electoral,  el fomento a la cultura democrática, y la promoción al voto en el marco del Proceso Electoral.</w:t>
      </w:r>
    </w:p>
    <w:p w:rsidR="005A09F2" w:rsidRPr="009E6079" w:rsidRDefault="005A09F2" w:rsidP="00671375">
      <w:r w:rsidRPr="009E6079">
        <w:t>El Programa Anual de Trabajo propuesto, se constituye por seis numerales, en los cuales se identifican los objetivo general y específicos, los ejes y líneas de acción, los proyectos de acuerdo por aprobar, como los de seguimiento, la calendarización de las actividades proyectadas, la cuales tienen carácter de ser enunciativas más no limitativas.</w:t>
      </w:r>
    </w:p>
    <w:p w:rsidR="005A09F2" w:rsidRPr="009E6079" w:rsidRDefault="005A09F2" w:rsidP="005A09F2">
      <w:r w:rsidRPr="009E6079">
        <w:t xml:space="preserve">El Programa tiene como objetivo general, definir las actividades y directrices en materia de organización electoral, educación cívica, cultura democrática, participación ciudadana, promoción del voto, ministración de las prerrogativas a partidos políticos, escrutinio, cómputos y observación electoral, dando cuenta de las actividades de seguimiento antes, durante y posterior al Proceso Electoral, mediante la presentación de informes y proyectos de acuerdos, recomendaciones y sugerencias de directrices a la Dirección de Organización Electoral y Educación Cívica para su cumplimiento. Además, a partir del análisis al Proceso Electoral en curso, será una valiosa herramienta </w:t>
      </w:r>
      <w:r w:rsidRPr="009E6079">
        <w:lastRenderedPageBreak/>
        <w:t>que permitirá identificar áreas de oportunidad, estadísticas y auto crítica que permitirá la planeación organizada del Proceso Electoral Local Ordinario 2026 – 2027.</w:t>
      </w:r>
    </w:p>
    <w:p w:rsidR="005A09F2" w:rsidRPr="009E6079" w:rsidRDefault="005A09F2" w:rsidP="005A09F2">
      <w:r w:rsidRPr="009E6079">
        <w:t xml:space="preserve">El Programa se estructura a partir de los compromisos y objetivos del </w:t>
      </w:r>
      <w:r w:rsidR="00091A97" w:rsidRPr="009E6079">
        <w:t>Instituto</w:t>
      </w:r>
      <w:r w:rsidRPr="009E6079">
        <w:t xml:space="preserve"> conexos a construir, desarrollar, fortalecer o consolidar la participación cívica, la cultura democrática inclusiva, la paridad de género sustantiva y la cultura de respeto de los derechos humanos (entre ellos los político electorales), así como los acuerdos aprobados por el Consejo Estatal, con la finalidad de que las actividades plasmadas se integren con los objetivos estratégicos institucionales e intersectoriales, y con ello la </w:t>
      </w:r>
      <w:r w:rsidR="003A642A" w:rsidRPr="009E6079">
        <w:t>Comisión</w:t>
      </w:r>
      <w:r w:rsidRPr="009E6079">
        <w:t xml:space="preserve"> se desarrolle en el contexto de la planeación y armonización institucional.</w:t>
      </w:r>
    </w:p>
    <w:p w:rsidR="005A09F2" w:rsidRPr="009E6079" w:rsidRDefault="005A09F2" w:rsidP="005A09F2">
      <w:r w:rsidRPr="009E6079">
        <w:t>En ese contexto, el Programa Anual de Trabajo, considera la inclusión de temas en el ámbito de fortalecer y garantizar los espacios de participación ciudadana, y la organización electoral, vinculados con el Proceso Electoral y el contiguo, en donde se pueden mencionar de manera enunciativa más no limitativa entre otros, los siguientes temas:</w:t>
      </w:r>
    </w:p>
    <w:p w:rsidR="005A09F2" w:rsidRPr="009E6079" w:rsidRDefault="005A09F2" w:rsidP="005F67EF">
      <w:pPr>
        <w:pStyle w:val="Prrafodelista"/>
        <w:numPr>
          <w:ilvl w:val="0"/>
          <w:numId w:val="5"/>
        </w:numPr>
        <w:ind w:left="357" w:hanging="357"/>
        <w:contextualSpacing w:val="0"/>
      </w:pPr>
      <w:r w:rsidRPr="009E6079">
        <w:t>Seguimiento a la elaboración y validación de los diseños del material y documentación electoral con logotipo y sin logotipo, como de los materiales didácticos de formación y capacitación.</w:t>
      </w:r>
    </w:p>
    <w:p w:rsidR="005A09F2" w:rsidRPr="009E6079" w:rsidRDefault="005A09F2" w:rsidP="005F67EF">
      <w:pPr>
        <w:pStyle w:val="Prrafodelista"/>
        <w:numPr>
          <w:ilvl w:val="0"/>
          <w:numId w:val="5"/>
        </w:numPr>
        <w:ind w:left="357" w:hanging="357"/>
        <w:contextualSpacing w:val="0"/>
      </w:pPr>
      <w:r w:rsidRPr="009E6079">
        <w:t>Propuesta de manual o modelo operativo de los cómputos electorales de las elecciones de Gubernatura, Diputaciones y Presidencias Municipales y Regidurías por ambos principios.</w:t>
      </w:r>
    </w:p>
    <w:p w:rsidR="005A09F2" w:rsidRPr="009E6079" w:rsidRDefault="005A09F2" w:rsidP="005A09F2">
      <w:pPr>
        <w:pStyle w:val="Prrafodelista"/>
        <w:numPr>
          <w:ilvl w:val="0"/>
          <w:numId w:val="3"/>
        </w:numPr>
        <w:ind w:left="357" w:hanging="357"/>
        <w:contextualSpacing w:val="0"/>
      </w:pPr>
      <w:r w:rsidRPr="009E6079">
        <w:t xml:space="preserve">Propuestas y seguimiento de adecuación al </w:t>
      </w:r>
      <w:r w:rsidR="00AB71D0" w:rsidRPr="009E6079">
        <w:t>Sistema Información Estatal Electoral</w:t>
      </w:r>
      <w:r w:rsidRPr="009E6079">
        <w:t>.</w:t>
      </w:r>
    </w:p>
    <w:p w:rsidR="005A09F2" w:rsidRPr="009E6079" w:rsidRDefault="005A09F2" w:rsidP="005A09F2">
      <w:pPr>
        <w:pStyle w:val="Prrafodelista"/>
        <w:numPr>
          <w:ilvl w:val="0"/>
          <w:numId w:val="3"/>
        </w:numPr>
        <w:ind w:left="357" w:hanging="357"/>
        <w:contextualSpacing w:val="0"/>
      </w:pPr>
      <w:r w:rsidRPr="009E6079">
        <w:t>Colaboración y seguimiento, a las capacitaciones y evaluaciones en organización electoral a las Vocalías y Consejerías Electorales Distritales que integran los 21 órganos electorales distritales.</w:t>
      </w:r>
    </w:p>
    <w:p w:rsidR="005A09F2" w:rsidRPr="009E6079" w:rsidRDefault="005A09F2" w:rsidP="005A09F2">
      <w:pPr>
        <w:pStyle w:val="Prrafodelista"/>
        <w:numPr>
          <w:ilvl w:val="0"/>
          <w:numId w:val="3"/>
        </w:numPr>
        <w:ind w:left="357" w:hanging="357"/>
        <w:contextualSpacing w:val="0"/>
      </w:pPr>
      <w:r w:rsidRPr="009E6079">
        <w:t>Colaboración y seguimiento, a las</w:t>
      </w:r>
      <w:r w:rsidR="00D12095" w:rsidRPr="009E6079">
        <w:t xml:space="preserve"> capacitaciones a las personas o</w:t>
      </w:r>
      <w:r w:rsidRPr="009E6079">
        <w:t xml:space="preserve">bservadoras </w:t>
      </w:r>
      <w:r w:rsidR="00D12095" w:rsidRPr="009E6079">
        <w:t>e</w:t>
      </w:r>
      <w:r w:rsidRPr="009E6079">
        <w:t xml:space="preserve">lectorales. </w:t>
      </w:r>
    </w:p>
    <w:p w:rsidR="005A09F2" w:rsidRPr="009E6079" w:rsidRDefault="005A09F2" w:rsidP="005A09F2">
      <w:pPr>
        <w:rPr>
          <w:highlight w:val="yellow"/>
        </w:rPr>
      </w:pPr>
      <w:r w:rsidRPr="009E6079">
        <w:t>En cuanto al período que considera el Programa Anual de Trabajo, se establece el calendario que permitirá a la Comisión la previsión y preparación de las sesiones ordinarias y extraordinarias, que habrán de realizarse para el cumplimiento de su cometido.</w:t>
      </w:r>
    </w:p>
    <w:p w:rsidR="00457A11" w:rsidRPr="009E6079" w:rsidRDefault="00457A11" w:rsidP="00457A11">
      <w:r w:rsidRPr="009E6079">
        <w:t>Sobre la base de las consideraciones señaladas, este Consejo Estatal emite el siguiente:</w:t>
      </w:r>
    </w:p>
    <w:p w:rsidR="00457A11" w:rsidRPr="009E6079" w:rsidRDefault="00457A11" w:rsidP="00457A11">
      <w:pPr>
        <w:pStyle w:val="Ttulo1"/>
        <w:rPr>
          <w:sz w:val="24"/>
          <w:szCs w:val="24"/>
        </w:rPr>
      </w:pPr>
      <w:r w:rsidRPr="009E6079">
        <w:rPr>
          <w:sz w:val="24"/>
          <w:szCs w:val="24"/>
        </w:rPr>
        <w:t>Acuerdo</w:t>
      </w:r>
    </w:p>
    <w:p w:rsidR="00457A11" w:rsidRDefault="00457A11" w:rsidP="00457A11">
      <w:r w:rsidRPr="007A2BBB">
        <w:rPr>
          <w:b/>
        </w:rPr>
        <w:t>Primero.</w:t>
      </w:r>
      <w:r>
        <w:t xml:space="preserve"> Se aprueba </w:t>
      </w:r>
      <w:r w:rsidRPr="00457A11">
        <w:t xml:space="preserve">el Programa Anual de Trabajo de la </w:t>
      </w:r>
      <w:r w:rsidR="00FD01AA" w:rsidRPr="00FD01AA">
        <w:t xml:space="preserve">Comisión Permanente de Organización Electoral y Educación Cívica </w:t>
      </w:r>
      <w:r w:rsidR="005B7750" w:rsidRPr="005B7750">
        <w:t xml:space="preserve">del Instituto Electoral y de Participación Ciudadana de Tabasco </w:t>
      </w:r>
      <w:r w:rsidRPr="00457A11">
        <w:t>para el ejercicio 2024 propuesto por la propia Comisión</w:t>
      </w:r>
      <w:r w:rsidR="00E10DE2">
        <w:t>,</w:t>
      </w:r>
      <w:r>
        <w:t xml:space="preserve"> anexo al presente acuerdo.</w:t>
      </w:r>
    </w:p>
    <w:p w:rsidR="00457A11" w:rsidRPr="009B6577" w:rsidRDefault="00457A11" w:rsidP="00457A11">
      <w:r w:rsidRPr="007A2BBB">
        <w:rPr>
          <w:b/>
        </w:rPr>
        <w:t>Segundo.</w:t>
      </w:r>
      <w:r>
        <w:t xml:space="preserve"> S</w:t>
      </w:r>
      <w:r w:rsidRPr="009B6577">
        <w:t xml:space="preserve">e instruye a la Secretaría Ejecutiva de este Instituto para que, </w:t>
      </w:r>
      <w:r>
        <w:t>por conducto</w:t>
      </w:r>
      <w:r w:rsidRPr="009B6577">
        <w:t xml:space="preserve"> de la Coordinación de Vinculación con el Instituto Nacional Electoral, notifique el presente acuerdo al citado organismo nacional, a través de su Unidad Técnica de Vinculación con los Organismos Públicos Locales, para los efectos correspondientes.</w:t>
      </w:r>
    </w:p>
    <w:p w:rsidR="00457A11" w:rsidRPr="009B6577" w:rsidRDefault="00457A11" w:rsidP="00457A11">
      <w:r>
        <w:rPr>
          <w:b/>
        </w:rPr>
        <w:t>Tercero</w:t>
      </w:r>
      <w:r w:rsidRPr="00D83705">
        <w:rPr>
          <w:b/>
        </w:rPr>
        <w:t>.</w:t>
      </w:r>
      <w:r w:rsidRPr="009B6577">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457A11" w:rsidRPr="009B6577" w:rsidRDefault="00457A11" w:rsidP="00457A11">
      <w:r w:rsidRPr="009B6577">
        <w:t xml:space="preserve">El presente acuerdo fue </w:t>
      </w:r>
      <w:r w:rsidR="009E6079">
        <w:t xml:space="preserve">aprobado </w:t>
      </w:r>
      <w:r w:rsidRPr="009B6577">
        <w:t>en sesión</w:t>
      </w:r>
      <w:r w:rsidR="009E6079">
        <w:t xml:space="preserve"> extraordinaria</w:t>
      </w:r>
      <w:r w:rsidRPr="009B6577">
        <w:t xml:space="preserve"> efectuada el </w:t>
      </w:r>
      <w:r w:rsidR="009E6079">
        <w:t xml:space="preserve">31 </w:t>
      </w:r>
      <w:r w:rsidRPr="009B6577">
        <w:t xml:space="preserve">de </w:t>
      </w:r>
      <w:r w:rsidR="009E6079">
        <w:t>enero</w:t>
      </w:r>
      <w:r w:rsidRPr="009B6577">
        <w:t xml:space="preserve"> del año dos mil </w:t>
      </w:r>
      <w:r>
        <w:t>veinticuatro</w:t>
      </w:r>
      <w:r w:rsidRPr="009B6577">
        <w:t xml:space="preserve">, por votación </w:t>
      </w:r>
      <w:r w:rsidR="009E6079">
        <w:t>unánime</w:t>
      </w:r>
      <w:r w:rsidRPr="009B6577">
        <w:t xml:space="preserve"> de las y los Consejeros Electorales del Consejo Estatal del Instituto Electoral y de Participación Ciudadana de Tabasco: </w:t>
      </w:r>
      <w:r>
        <w:t>Dra</w:t>
      </w:r>
      <w:r w:rsidRPr="009B6577">
        <w:t xml:space="preserve">. </w:t>
      </w:r>
      <w:proofErr w:type="spellStart"/>
      <w:r w:rsidRPr="009B6577">
        <w:t>Rosselvy</w:t>
      </w:r>
      <w:proofErr w:type="spellEnd"/>
      <w:r w:rsidRPr="009B6577">
        <w:t xml:space="preserve"> del Carmen Domínguez Arévalo, Licda. María Elvia Magaña Sandoval, Mtro. Juan Correa López, M.D. Víctor Humberto Mejía Naranjo, Lic. Hernán González Sala, Lic. Vladimir Hernández Venegas y la Consejera Presidenta, Mtra. Elizabeth Nava Gutiérrez.</w:t>
      </w:r>
    </w:p>
    <w:p w:rsidR="00457A11" w:rsidRDefault="00457A11" w:rsidP="00457A11"/>
    <w:p w:rsidR="00457A11" w:rsidRDefault="00457A11" w:rsidP="00457A11"/>
    <w:p w:rsidR="00457A11" w:rsidRDefault="00457A11" w:rsidP="00457A11"/>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83"/>
        <w:gridCol w:w="4297"/>
      </w:tblGrid>
      <w:tr w:rsidR="00457A11" w:rsidRPr="00143AA8" w:rsidTr="00122F06">
        <w:tc>
          <w:tcPr>
            <w:tcW w:w="4248" w:type="dxa"/>
          </w:tcPr>
          <w:p w:rsidR="00457A11" w:rsidRPr="003408DE" w:rsidRDefault="00457A11" w:rsidP="00122F06">
            <w:pPr>
              <w:spacing w:before="0" w:after="0"/>
              <w:jc w:val="center"/>
              <w:rPr>
                <w:rFonts w:ascii="Arial Negrita" w:hAnsi="Arial Negrita"/>
                <w:b/>
                <w:bCs/>
                <w:spacing w:val="-10"/>
              </w:rPr>
            </w:pPr>
            <w:r w:rsidRPr="003408DE">
              <w:rPr>
                <w:rFonts w:ascii="Arial Negrita" w:hAnsi="Arial Negrita"/>
                <w:b/>
                <w:bCs/>
                <w:spacing w:val="-10"/>
              </w:rPr>
              <w:t>MTRA. ELIZABETH NAVA GUTIÉRREZ</w:t>
            </w:r>
          </w:p>
          <w:p w:rsidR="00457A11" w:rsidRPr="00143AA8" w:rsidRDefault="00457A11" w:rsidP="00122F06">
            <w:pPr>
              <w:spacing w:before="0" w:after="0"/>
              <w:jc w:val="center"/>
              <w:rPr>
                <w:b/>
                <w:bCs/>
              </w:rPr>
            </w:pPr>
            <w:r w:rsidRPr="003408DE">
              <w:rPr>
                <w:rFonts w:ascii="Arial Negrita" w:hAnsi="Arial Negrita"/>
                <w:b/>
                <w:bCs/>
                <w:spacing w:val="-10"/>
              </w:rPr>
              <w:t>CONSEJERA PRESIDENTA</w:t>
            </w:r>
          </w:p>
        </w:tc>
        <w:tc>
          <w:tcPr>
            <w:tcW w:w="283" w:type="dxa"/>
          </w:tcPr>
          <w:p w:rsidR="00457A11" w:rsidRPr="00143AA8" w:rsidRDefault="00457A11" w:rsidP="00122F06">
            <w:pPr>
              <w:spacing w:before="0" w:after="0"/>
              <w:rPr>
                <w:b/>
                <w:bCs/>
              </w:rPr>
            </w:pPr>
          </w:p>
        </w:tc>
        <w:tc>
          <w:tcPr>
            <w:tcW w:w="4297" w:type="dxa"/>
          </w:tcPr>
          <w:p w:rsidR="00457A11" w:rsidRPr="003408DE" w:rsidRDefault="00457A11" w:rsidP="00122F06">
            <w:pPr>
              <w:spacing w:before="0" w:after="0"/>
              <w:jc w:val="center"/>
              <w:rPr>
                <w:rFonts w:ascii="Arial Negrita" w:hAnsi="Arial Negrita"/>
                <w:b/>
                <w:bCs/>
                <w:spacing w:val="-10"/>
              </w:rPr>
            </w:pPr>
            <w:r w:rsidRPr="003408DE">
              <w:rPr>
                <w:rFonts w:ascii="Arial Negrita" w:hAnsi="Arial Negrita"/>
                <w:b/>
                <w:bCs/>
                <w:spacing w:val="-10"/>
              </w:rPr>
              <w:t>LIC. JORGE ALBERTO ZAVALA FRÍAS</w:t>
            </w:r>
          </w:p>
          <w:p w:rsidR="00457A11" w:rsidRPr="00143AA8" w:rsidRDefault="00457A11" w:rsidP="00122F06">
            <w:pPr>
              <w:spacing w:before="0" w:after="0"/>
              <w:jc w:val="center"/>
              <w:rPr>
                <w:b/>
                <w:bCs/>
              </w:rPr>
            </w:pPr>
            <w:r w:rsidRPr="003408DE">
              <w:rPr>
                <w:rFonts w:ascii="Arial Negrita" w:hAnsi="Arial Negrita"/>
                <w:b/>
                <w:bCs/>
                <w:spacing w:val="-10"/>
              </w:rPr>
              <w:t>SECRETARIO DEL CONSEJO</w:t>
            </w:r>
          </w:p>
        </w:tc>
      </w:tr>
    </w:tbl>
    <w:p w:rsidR="00457A11" w:rsidRDefault="00457A11" w:rsidP="00195927"/>
    <w:sectPr w:rsidR="00457A11" w:rsidSect="005D24FC">
      <w:headerReference w:type="default" r:id="rId8"/>
      <w:footerReference w:type="default" r:id="rId9"/>
      <w:pgSz w:w="12240" w:h="15840" w:code="1"/>
      <w:pgMar w:top="2836" w:right="1701" w:bottom="113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B17" w:rsidRDefault="00DF1B17" w:rsidP="00457A11">
      <w:pPr>
        <w:spacing w:before="0" w:after="0" w:line="240" w:lineRule="auto"/>
      </w:pPr>
      <w:r>
        <w:separator/>
      </w:r>
    </w:p>
  </w:endnote>
  <w:endnote w:type="continuationSeparator" w:id="0">
    <w:p w:rsidR="00DF1B17" w:rsidRDefault="00DF1B17" w:rsidP="00457A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788706481"/>
      <w:docPartObj>
        <w:docPartGallery w:val="Page Numbers (Top of Page)"/>
        <w:docPartUnique/>
      </w:docPartObj>
    </w:sdtPr>
    <w:sdtEndPr/>
    <w:sdtContent>
      <w:p w:rsidR="002C54A0" w:rsidRPr="002C54A0" w:rsidRDefault="002C54A0" w:rsidP="002C54A0">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9E6079">
          <w:rPr>
            <w:b/>
            <w:bCs/>
            <w:noProof/>
            <w:color w:val="993366"/>
          </w:rPr>
          <w:t>6</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9E6079">
          <w:rPr>
            <w:b/>
            <w:bCs/>
            <w:noProof/>
            <w:color w:val="993366"/>
          </w:rPr>
          <w:t>8</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B17" w:rsidRDefault="00DF1B17" w:rsidP="00457A11">
      <w:pPr>
        <w:spacing w:before="0" w:after="0" w:line="240" w:lineRule="auto"/>
      </w:pPr>
      <w:r>
        <w:separator/>
      </w:r>
    </w:p>
  </w:footnote>
  <w:footnote w:type="continuationSeparator" w:id="0">
    <w:p w:rsidR="00DF1B17" w:rsidRDefault="00DF1B17" w:rsidP="00457A1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57A11" w:rsidRPr="00063338" w:rsidTr="00122F06">
      <w:tc>
        <w:tcPr>
          <w:tcW w:w="1418" w:type="dxa"/>
        </w:tcPr>
        <w:p w:rsidR="00457A11" w:rsidRPr="00063338" w:rsidRDefault="00457A11" w:rsidP="00457A11">
          <w:pPr>
            <w:pStyle w:val="Encabezado"/>
            <w:ind w:left="-170"/>
            <w:jc w:val="left"/>
          </w:pPr>
          <w:r>
            <w:rPr>
              <w:b/>
              <w:noProof/>
              <w:sz w:val="32"/>
              <w:lang w:eastAsia="es-MX"/>
            </w:rPr>
            <w:drawing>
              <wp:inline distT="0" distB="0" distL="0" distR="0" wp14:anchorId="5D1E57A4" wp14:editId="70152590">
                <wp:extent cx="1014331" cy="1199403"/>
                <wp:effectExtent l="0" t="0" r="0" b="1270"/>
                <wp:docPr id="29" name="Imagen 29"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457A11" w:rsidRPr="007B01D0" w:rsidRDefault="00457A11" w:rsidP="00457A11">
          <w:pPr>
            <w:pStyle w:val="Encabezado"/>
            <w:spacing w:before="720"/>
            <w:jc w:val="center"/>
            <w:rPr>
              <w:b/>
              <w:bCs/>
              <w:sz w:val="25"/>
              <w:szCs w:val="25"/>
            </w:rPr>
          </w:pPr>
          <w:r w:rsidRPr="007B01D0">
            <w:rPr>
              <w:b/>
              <w:bCs/>
              <w:sz w:val="25"/>
              <w:szCs w:val="25"/>
            </w:rPr>
            <w:t>INSTITUTO ELECTORAL Y DE PARTICIPACIÓN CIUDADANA DE TABASCO</w:t>
          </w:r>
        </w:p>
        <w:p w:rsidR="00457A11" w:rsidRPr="00063338" w:rsidRDefault="00457A11" w:rsidP="00457A11">
          <w:pPr>
            <w:pStyle w:val="Encabezado"/>
            <w:jc w:val="center"/>
          </w:pPr>
          <w:r w:rsidRPr="007B01D0">
            <w:rPr>
              <w:sz w:val="26"/>
              <w:szCs w:val="26"/>
            </w:rPr>
            <w:t>CONSEJO ESTATAL</w:t>
          </w:r>
        </w:p>
      </w:tc>
      <w:tc>
        <w:tcPr>
          <w:tcW w:w="1701" w:type="dxa"/>
        </w:tcPr>
        <w:p w:rsidR="00457A11" w:rsidRPr="00063338" w:rsidRDefault="00457A11" w:rsidP="00457A11">
          <w:pPr>
            <w:pStyle w:val="Encabezado"/>
            <w:spacing w:before="480"/>
          </w:pPr>
          <w:r>
            <w:rPr>
              <w:noProof/>
              <w:lang w:eastAsia="es-MX"/>
            </w:rPr>
            <w:drawing>
              <wp:inline distT="0" distB="0" distL="0" distR="0" wp14:anchorId="764EF03B" wp14:editId="4D630F6E">
                <wp:extent cx="921600" cy="756000"/>
                <wp:effectExtent l="0" t="0" r="0" b="6350"/>
                <wp:docPr id="30" name="Imagen 30"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457A11" w:rsidRPr="009E6079" w:rsidRDefault="009E6079" w:rsidP="009E6079">
    <w:pPr>
      <w:pStyle w:val="Encabezado"/>
      <w:jc w:val="right"/>
      <w:rPr>
        <w:b/>
        <w:sz w:val="24"/>
        <w:szCs w:val="24"/>
      </w:rPr>
    </w:pPr>
    <w:r w:rsidRPr="009E6079">
      <w:rPr>
        <w:b/>
        <w:sz w:val="24"/>
        <w:szCs w:val="24"/>
      </w:rPr>
      <w:t>CE/2024/009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154EE"/>
    <w:multiLevelType w:val="hybridMultilevel"/>
    <w:tmpl w:val="C4EE5748"/>
    <w:lvl w:ilvl="0" w:tplc="60368C7A">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6FD14F5"/>
    <w:multiLevelType w:val="hybridMultilevel"/>
    <w:tmpl w:val="5994D5D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8B4715A"/>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4E142AC3"/>
    <w:multiLevelType w:val="hybridMultilevel"/>
    <w:tmpl w:val="4ED6DF9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E2A6E0A"/>
    <w:multiLevelType w:val="multilevel"/>
    <w:tmpl w:val="08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6C94EB2"/>
    <w:multiLevelType w:val="hybridMultilevel"/>
    <w:tmpl w:val="936E7B34"/>
    <w:lvl w:ilvl="0" w:tplc="615EEC5E">
      <w:numFmt w:val="bullet"/>
      <w:lvlText w:val="•"/>
      <w:lvlJc w:val="left"/>
      <w:pPr>
        <w:ind w:left="1065" w:hanging="705"/>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375"/>
    <w:rsid w:val="00050177"/>
    <w:rsid w:val="00091A97"/>
    <w:rsid w:val="000941C3"/>
    <w:rsid w:val="000C54D4"/>
    <w:rsid w:val="00100A95"/>
    <w:rsid w:val="00195927"/>
    <w:rsid w:val="00195ACD"/>
    <w:rsid w:val="001967CD"/>
    <w:rsid w:val="001C2231"/>
    <w:rsid w:val="001E4CDB"/>
    <w:rsid w:val="00223920"/>
    <w:rsid w:val="002C54A0"/>
    <w:rsid w:val="00321BF0"/>
    <w:rsid w:val="00332E9D"/>
    <w:rsid w:val="003A642A"/>
    <w:rsid w:val="003B28C9"/>
    <w:rsid w:val="00457A11"/>
    <w:rsid w:val="004E6F90"/>
    <w:rsid w:val="005A003A"/>
    <w:rsid w:val="005A09F2"/>
    <w:rsid w:val="005B7750"/>
    <w:rsid w:val="005D24FC"/>
    <w:rsid w:val="005D470F"/>
    <w:rsid w:val="005D7F44"/>
    <w:rsid w:val="005F67EF"/>
    <w:rsid w:val="00625E90"/>
    <w:rsid w:val="00671375"/>
    <w:rsid w:val="00676819"/>
    <w:rsid w:val="006D0973"/>
    <w:rsid w:val="0082364D"/>
    <w:rsid w:val="008D63B6"/>
    <w:rsid w:val="00971BED"/>
    <w:rsid w:val="009E6079"/>
    <w:rsid w:val="009F4FE3"/>
    <w:rsid w:val="00A16AF2"/>
    <w:rsid w:val="00A540C0"/>
    <w:rsid w:val="00AB71D0"/>
    <w:rsid w:val="00AC6EE0"/>
    <w:rsid w:val="00B8691D"/>
    <w:rsid w:val="00B9477A"/>
    <w:rsid w:val="00C15C2D"/>
    <w:rsid w:val="00C37254"/>
    <w:rsid w:val="00C92C2D"/>
    <w:rsid w:val="00CC6B54"/>
    <w:rsid w:val="00CD7E89"/>
    <w:rsid w:val="00D12095"/>
    <w:rsid w:val="00D90B88"/>
    <w:rsid w:val="00DE30EB"/>
    <w:rsid w:val="00DF1B17"/>
    <w:rsid w:val="00E10DE2"/>
    <w:rsid w:val="00E86906"/>
    <w:rsid w:val="00F23353"/>
    <w:rsid w:val="00F55552"/>
    <w:rsid w:val="00F9273E"/>
    <w:rsid w:val="00FD01AA"/>
    <w:rsid w:val="00FE00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B864"/>
  <w15:chartTrackingRefBased/>
  <w15:docId w15:val="{2EFD758D-2DF1-4209-AA1D-BBD30AD6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375"/>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671375"/>
    <w:pPr>
      <w:keepNext/>
      <w:keepLines/>
      <w:numPr>
        <w:numId w:val="1"/>
      </w:numPr>
      <w:spacing w:before="600" w:after="480"/>
      <w:jc w:val="center"/>
      <w:outlineLvl w:val="0"/>
    </w:pPr>
    <w:rPr>
      <w:rFonts w:eastAsiaTheme="majorEastAsia"/>
      <w:b/>
      <w:sz w:val="28"/>
      <w:szCs w:val="32"/>
    </w:rPr>
  </w:style>
  <w:style w:type="paragraph" w:styleId="Ttulo2">
    <w:name w:val="heading 2"/>
    <w:basedOn w:val="Normal"/>
    <w:next w:val="Normal"/>
    <w:link w:val="Ttulo2Car"/>
    <w:uiPriority w:val="9"/>
    <w:unhideWhenUsed/>
    <w:qFormat/>
    <w:rsid w:val="00671375"/>
    <w:pPr>
      <w:numPr>
        <w:ilvl w:val="1"/>
        <w:numId w:val="1"/>
      </w:numPr>
      <w:spacing w:before="480"/>
      <w:outlineLvl w:val="1"/>
    </w:pPr>
    <w:rPr>
      <w:b/>
      <w:sz w:val="24"/>
    </w:rPr>
  </w:style>
  <w:style w:type="paragraph" w:styleId="Ttulo3">
    <w:name w:val="heading 3"/>
    <w:basedOn w:val="Normal"/>
    <w:next w:val="Normal"/>
    <w:link w:val="Ttulo3Car"/>
    <w:uiPriority w:val="9"/>
    <w:unhideWhenUsed/>
    <w:qFormat/>
    <w:rsid w:val="002C54A0"/>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2C54A0"/>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2C54A0"/>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54A0"/>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2C54A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2C54A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C54A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71375"/>
    <w:rPr>
      <w:rFonts w:ascii="Arial" w:hAnsi="Arial" w:cs="Arial"/>
      <w:b/>
      <w:sz w:val="24"/>
      <w:szCs w:val="23"/>
    </w:rPr>
  </w:style>
  <w:style w:type="character" w:customStyle="1" w:styleId="Ttulo1Car">
    <w:name w:val="Título 1 Car"/>
    <w:basedOn w:val="Fuentedeprrafopredeter"/>
    <w:link w:val="Ttulo1"/>
    <w:uiPriority w:val="9"/>
    <w:rsid w:val="00671375"/>
    <w:rPr>
      <w:rFonts w:ascii="Arial" w:eastAsiaTheme="majorEastAsia" w:hAnsi="Arial" w:cs="Arial"/>
      <w:b/>
      <w:sz w:val="28"/>
      <w:szCs w:val="32"/>
    </w:rPr>
  </w:style>
  <w:style w:type="table" w:styleId="Tablaconcuadrcula">
    <w:name w:val="Table Grid"/>
    <w:basedOn w:val="Tablanormal"/>
    <w:uiPriority w:val="39"/>
    <w:rsid w:val="0045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57A11"/>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57A11"/>
    <w:rPr>
      <w:rFonts w:ascii="Arial" w:hAnsi="Arial" w:cs="Arial"/>
      <w:sz w:val="23"/>
      <w:szCs w:val="23"/>
    </w:rPr>
  </w:style>
  <w:style w:type="paragraph" w:styleId="Piedepgina">
    <w:name w:val="footer"/>
    <w:basedOn w:val="Normal"/>
    <w:link w:val="PiedepginaCar"/>
    <w:uiPriority w:val="99"/>
    <w:unhideWhenUsed/>
    <w:rsid w:val="00457A11"/>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57A11"/>
    <w:rPr>
      <w:rFonts w:ascii="Arial" w:hAnsi="Arial" w:cs="Arial"/>
      <w:sz w:val="23"/>
      <w:szCs w:val="23"/>
    </w:rPr>
  </w:style>
  <w:style w:type="character" w:customStyle="1" w:styleId="Ttulo3Car">
    <w:name w:val="Título 3 Car"/>
    <w:basedOn w:val="Fuentedeprrafopredeter"/>
    <w:link w:val="Ttulo3"/>
    <w:uiPriority w:val="9"/>
    <w:semiHidden/>
    <w:rsid w:val="002C54A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2C54A0"/>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2C54A0"/>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2C54A0"/>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2C54A0"/>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2C54A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C54A0"/>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5A09F2"/>
    <w:pPr>
      <w:ind w:left="720"/>
      <w:contextualSpacing/>
    </w:pPr>
  </w:style>
  <w:style w:type="paragraph" w:styleId="Textodeglobo">
    <w:name w:val="Balloon Text"/>
    <w:basedOn w:val="Normal"/>
    <w:link w:val="TextodegloboCar"/>
    <w:uiPriority w:val="99"/>
    <w:semiHidden/>
    <w:unhideWhenUsed/>
    <w:rsid w:val="009E6079"/>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0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D9DE-F7C7-4FDD-9771-712D625A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2302</Words>
  <Characters>12662</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44</cp:revision>
  <cp:lastPrinted>2024-02-01T00:00:00Z</cp:lastPrinted>
  <dcterms:created xsi:type="dcterms:W3CDTF">2024-01-02T21:44:00Z</dcterms:created>
  <dcterms:modified xsi:type="dcterms:W3CDTF">2024-02-01T00:03:00Z</dcterms:modified>
</cp:coreProperties>
</file>